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8" w14:textId="05360C04" w:rsidR="00476C25" w:rsidRDefault="00476C25">
      <w:pPr>
        <w:spacing w:after="0" w:line="240" w:lineRule="auto"/>
        <w:rPr>
          <w:rFonts w:ascii="Times New Roman" w:eastAsia="Times New Roman" w:hAnsi="Times New Roman" w:cs="Times New Roman"/>
          <w:b/>
          <w:sz w:val="20"/>
          <w:szCs w:val="20"/>
        </w:rPr>
      </w:pPr>
    </w:p>
    <w:p w14:paraId="00000019" w14:textId="77777777" w:rsidR="00476C25" w:rsidRDefault="00476C25">
      <w:pPr>
        <w:spacing w:after="0" w:line="240" w:lineRule="auto"/>
        <w:rPr>
          <w:rFonts w:ascii="Times New Roman" w:eastAsia="Times New Roman" w:hAnsi="Times New Roman" w:cs="Times New Roman"/>
          <w:b/>
          <w:sz w:val="20"/>
          <w:szCs w:val="20"/>
        </w:rPr>
      </w:pPr>
    </w:p>
    <w:p w14:paraId="104C31D3" w14:textId="77777777" w:rsidR="000E4F43" w:rsidRPr="000E4F43" w:rsidRDefault="000E4F43" w:rsidP="000E4F43">
      <w:pPr>
        <w:spacing w:after="0" w:line="240" w:lineRule="auto"/>
        <w:jc w:val="both"/>
        <w:rPr>
          <w:rFonts w:ascii="Times New Roman" w:eastAsia="MS Mincho" w:hAnsi="Times New Roman" w:cs="Times New Roman"/>
          <w:b/>
          <w:bCs/>
          <w:sz w:val="20"/>
          <w:szCs w:val="20"/>
        </w:rPr>
      </w:pPr>
      <w:r w:rsidRPr="000E4F43">
        <w:rPr>
          <w:rFonts w:ascii="Times New Roman" w:eastAsia="MS Mincho" w:hAnsi="Times New Roman" w:cs="Times New Roman"/>
          <w:b/>
          <w:bCs/>
          <w:sz w:val="20"/>
          <w:szCs w:val="20"/>
        </w:rPr>
        <w:t>Board Policy 1312.3 - Uniform Complaint Procedures</w:t>
      </w:r>
    </w:p>
    <w:p w14:paraId="56203707" w14:textId="77777777" w:rsidR="000E4F43" w:rsidRPr="000E4F43" w:rsidRDefault="000E4F43" w:rsidP="000E4F43">
      <w:pPr>
        <w:spacing w:after="0" w:line="240" w:lineRule="auto"/>
        <w:ind w:left="720"/>
        <w:jc w:val="both"/>
        <w:rPr>
          <w:rFonts w:ascii="Times New Roman" w:eastAsia="MS Mincho" w:hAnsi="Times New Roman" w:cs="Times New Roman"/>
          <w:sz w:val="20"/>
          <w:szCs w:val="20"/>
        </w:rPr>
      </w:pPr>
      <w:r w:rsidRPr="000E4F43">
        <w:rPr>
          <w:rFonts w:ascii="Times New Roman" w:eastAsia="MS Mincho" w:hAnsi="Times New Roman" w:cs="Times New Roman"/>
          <w:sz w:val="20"/>
          <w:szCs w:val="20"/>
        </w:rPr>
        <w:t xml:space="preserve">Policy updated to reflect </w:t>
      </w:r>
      <w:r w:rsidRPr="000E4F43">
        <w:rPr>
          <w:rFonts w:ascii="Times New Roman" w:eastAsia="MS Mincho" w:hAnsi="Times New Roman" w:cs="Times New Roman"/>
          <w:b/>
          <w:bCs/>
          <w:sz w:val="20"/>
          <w:szCs w:val="20"/>
        </w:rPr>
        <w:t xml:space="preserve">NEW LAW (AB 131, 2021) </w:t>
      </w:r>
      <w:r w:rsidRPr="000E4F43">
        <w:rPr>
          <w:rFonts w:ascii="Times New Roman" w:eastAsia="MS Mincho" w:hAnsi="Times New Roman" w:cs="Times New Roman"/>
          <w:sz w:val="20"/>
          <w:szCs w:val="20"/>
        </w:rPr>
        <w:t>which renumbers the license-exempt California State Preschool Program code sections, ensure consistency with the California Department of Education's 2021-22 federal program monitoring instrument, clarify that districts may not offer or facilitate an informal resolution process to resolve allegations that an employee sexually harassed a student, add Item #3 to the section regarding "Non-UCP Complaints" that any complaint alleging that a student, while in an education program or activity as specified, was subjected to sexual harassment as defined in 34 CFR 106.30 be addressed through federal Title IX complaint procedures, and clarify in Item #5 that complaints alleging a physical safety concern that interferes with a free appropriate public education is a non-UCP complaint.</w:t>
      </w:r>
    </w:p>
    <w:p w14:paraId="2CEBFD68" w14:textId="276A4DD5" w:rsidR="000E4F43" w:rsidRDefault="000E4F43" w:rsidP="000E4F43">
      <w:pPr>
        <w:spacing w:after="0" w:line="240" w:lineRule="auto"/>
        <w:ind w:left="720"/>
        <w:jc w:val="both"/>
        <w:rPr>
          <w:rFonts w:ascii="Times New Roman" w:eastAsia="MS Mincho" w:hAnsi="Times New Roman" w:cs="Times New Roman"/>
          <w:sz w:val="20"/>
          <w:szCs w:val="20"/>
        </w:rPr>
      </w:pPr>
    </w:p>
    <w:p w14:paraId="3438B740" w14:textId="4B8AC883" w:rsidR="00D74F47" w:rsidRDefault="00D74F47" w:rsidP="000E4F43">
      <w:pPr>
        <w:spacing w:after="0" w:line="240" w:lineRule="auto"/>
        <w:ind w:left="720"/>
        <w:jc w:val="both"/>
        <w:rPr>
          <w:rFonts w:ascii="Times New Roman" w:eastAsia="MS Mincho" w:hAnsi="Times New Roman" w:cs="Times New Roman"/>
          <w:sz w:val="20"/>
          <w:szCs w:val="20"/>
        </w:rPr>
      </w:pPr>
    </w:p>
    <w:p w14:paraId="263B2574" w14:textId="77777777" w:rsidR="00D74F47" w:rsidRPr="000E4F43" w:rsidRDefault="00D74F47" w:rsidP="000E4F43">
      <w:pPr>
        <w:spacing w:after="0" w:line="240" w:lineRule="auto"/>
        <w:ind w:left="720"/>
        <w:jc w:val="both"/>
        <w:rPr>
          <w:rFonts w:ascii="Times New Roman" w:eastAsia="MS Mincho" w:hAnsi="Times New Roman" w:cs="Times New Roman"/>
          <w:sz w:val="20"/>
          <w:szCs w:val="20"/>
        </w:rPr>
      </w:pPr>
    </w:p>
    <w:p w14:paraId="74654DE7" w14:textId="77777777" w:rsidR="000E4F43" w:rsidRPr="000E4F43" w:rsidRDefault="000E4F43" w:rsidP="000E4F43">
      <w:pPr>
        <w:spacing w:after="0" w:line="240" w:lineRule="auto"/>
        <w:jc w:val="both"/>
        <w:rPr>
          <w:rFonts w:ascii="Times New Roman" w:eastAsia="MS Mincho" w:hAnsi="Times New Roman" w:cs="Times New Roman"/>
          <w:b/>
          <w:bCs/>
          <w:sz w:val="20"/>
          <w:szCs w:val="20"/>
        </w:rPr>
      </w:pPr>
      <w:r w:rsidRPr="000E4F43">
        <w:rPr>
          <w:rFonts w:ascii="Times New Roman" w:eastAsia="MS Mincho" w:hAnsi="Times New Roman" w:cs="Times New Roman"/>
          <w:b/>
          <w:bCs/>
          <w:sz w:val="20"/>
          <w:szCs w:val="20"/>
        </w:rPr>
        <w:t>Administrative Regulation 1312.3 - Uniform Complaint Procedures</w:t>
      </w:r>
    </w:p>
    <w:p w14:paraId="6D6A8FED" w14:textId="77777777" w:rsidR="000E4F43" w:rsidRPr="000E4F43" w:rsidRDefault="000E4F43" w:rsidP="000E4F43">
      <w:pPr>
        <w:spacing w:after="0" w:line="240" w:lineRule="auto"/>
        <w:ind w:left="720"/>
        <w:jc w:val="both"/>
        <w:rPr>
          <w:rFonts w:ascii="Times New Roman" w:eastAsia="MS Mincho" w:hAnsi="Times New Roman" w:cs="Times New Roman"/>
          <w:sz w:val="20"/>
          <w:szCs w:val="20"/>
        </w:rPr>
      </w:pPr>
      <w:r w:rsidRPr="000E4F43">
        <w:rPr>
          <w:rFonts w:ascii="Times New Roman" w:eastAsia="MS Mincho" w:hAnsi="Times New Roman" w:cs="Times New Roman"/>
          <w:sz w:val="20"/>
          <w:szCs w:val="20"/>
        </w:rPr>
        <w:t xml:space="preserve">Regulation updated to delete outdated and/or repealed U.S. Department of Education's Office for Civil Rights (OCR) references and where appropriate add current OCR material, ensure consistency with the California Department of Education's 2021-22 federal program monitoring instrument, clarify posting requirements for the annual notification, compliance officer contact information and information related to Title IX, add material regarding the requirement for an administrator who is not designated as a compliance officer who receives a complaint to notify the compliance officer, clarify that districts may not offer or facilitate an informal resolution process to resolve allegations that an employee sexually harassed a student, add descriptions to the OPTION headings for districts that do or do not allow complainants to appeal to the governing board, delete material regarding respondent being sent the investigation report at the same time it is provided to complainant as this simultaneous exchange is not required by law, amend language in regard to pursuing civil law remedies in the notice to complainants included in investigation reports for allegations of  unlawful discrimination, harassment, intimidation, and bullying based on state law, clarify when either party may request reconsideration of an appeal by the Superintendent of Public Instruction, and reflect </w:t>
      </w:r>
      <w:r w:rsidRPr="000E4F43">
        <w:rPr>
          <w:rFonts w:ascii="Times New Roman" w:eastAsia="MS Mincho" w:hAnsi="Times New Roman" w:cs="Times New Roman"/>
          <w:b/>
          <w:bCs/>
          <w:sz w:val="20"/>
          <w:szCs w:val="20"/>
        </w:rPr>
        <w:t xml:space="preserve">NEW LAW (AB 131, 2021) </w:t>
      </w:r>
      <w:r w:rsidRPr="000E4F43">
        <w:rPr>
          <w:rFonts w:ascii="Times New Roman" w:eastAsia="MS Mincho" w:hAnsi="Times New Roman" w:cs="Times New Roman"/>
          <w:sz w:val="20"/>
          <w:szCs w:val="20"/>
        </w:rPr>
        <w:t xml:space="preserve">which renumbers the license-exempt California State Preschool Program code sections. </w:t>
      </w:r>
    </w:p>
    <w:p w14:paraId="2C205E6D" w14:textId="46181904" w:rsidR="000E4F43" w:rsidRDefault="000E4F43" w:rsidP="000E4F43">
      <w:pPr>
        <w:spacing w:after="0" w:line="240" w:lineRule="auto"/>
        <w:jc w:val="both"/>
        <w:rPr>
          <w:rFonts w:ascii="Times New Roman" w:eastAsia="MS Mincho" w:hAnsi="Times New Roman" w:cs="Times New Roman"/>
          <w:sz w:val="20"/>
          <w:szCs w:val="20"/>
        </w:rPr>
      </w:pPr>
    </w:p>
    <w:p w14:paraId="25847A82" w14:textId="5C4A1362" w:rsidR="00D74F47" w:rsidRDefault="00D74F47" w:rsidP="000E4F43">
      <w:pPr>
        <w:spacing w:after="0" w:line="240" w:lineRule="auto"/>
        <w:jc w:val="both"/>
        <w:rPr>
          <w:rFonts w:ascii="Times New Roman" w:eastAsia="MS Mincho" w:hAnsi="Times New Roman" w:cs="Times New Roman"/>
          <w:sz w:val="20"/>
          <w:szCs w:val="20"/>
        </w:rPr>
      </w:pPr>
    </w:p>
    <w:p w14:paraId="20D68B91" w14:textId="77777777" w:rsidR="00D74F47" w:rsidRPr="000E4F43" w:rsidRDefault="00D74F47" w:rsidP="000E4F43">
      <w:pPr>
        <w:spacing w:after="0" w:line="240" w:lineRule="auto"/>
        <w:jc w:val="both"/>
        <w:rPr>
          <w:rFonts w:ascii="Times New Roman" w:eastAsia="MS Mincho" w:hAnsi="Times New Roman" w:cs="Times New Roman"/>
          <w:sz w:val="20"/>
          <w:szCs w:val="20"/>
        </w:rPr>
      </w:pPr>
    </w:p>
    <w:p w14:paraId="70D341A7" w14:textId="77777777" w:rsidR="000E4F43" w:rsidRPr="000E4F43" w:rsidRDefault="000E4F43" w:rsidP="000E4F43">
      <w:pPr>
        <w:spacing w:after="0" w:line="240" w:lineRule="auto"/>
        <w:jc w:val="both"/>
        <w:rPr>
          <w:rFonts w:ascii="Times New Roman" w:eastAsia="MS Mincho" w:hAnsi="Times New Roman" w:cs="Times New Roman"/>
          <w:b/>
          <w:bCs/>
          <w:sz w:val="20"/>
          <w:szCs w:val="20"/>
        </w:rPr>
      </w:pPr>
      <w:r w:rsidRPr="000E4F43">
        <w:rPr>
          <w:rFonts w:ascii="Times New Roman" w:eastAsia="MS Mincho" w:hAnsi="Times New Roman" w:cs="Times New Roman"/>
          <w:b/>
          <w:bCs/>
          <w:sz w:val="20"/>
          <w:szCs w:val="20"/>
        </w:rPr>
        <w:t>Exhibit(1) 1312.3 - Uniform Complaint Procedures</w:t>
      </w:r>
    </w:p>
    <w:p w14:paraId="738A9D80" w14:textId="77777777" w:rsidR="000E4F43" w:rsidRPr="000E4F43" w:rsidRDefault="000E4F43" w:rsidP="000E4F43">
      <w:pPr>
        <w:spacing w:after="0" w:line="240" w:lineRule="auto"/>
        <w:ind w:left="720"/>
        <w:jc w:val="both"/>
        <w:rPr>
          <w:rFonts w:ascii="Times New Roman" w:eastAsia="MS Mincho" w:hAnsi="Times New Roman" w:cs="Times New Roman"/>
          <w:sz w:val="20"/>
          <w:szCs w:val="20"/>
        </w:rPr>
      </w:pPr>
      <w:r w:rsidRPr="000E4F43">
        <w:rPr>
          <w:rFonts w:ascii="Times New Roman" w:eastAsia="MS Mincho" w:hAnsi="Times New Roman" w:cs="Times New Roman"/>
          <w:sz w:val="20"/>
          <w:szCs w:val="20"/>
        </w:rPr>
        <w:t xml:space="preserve">Exhibit updated to reflect </w:t>
      </w:r>
      <w:r w:rsidRPr="000E4F43">
        <w:rPr>
          <w:rFonts w:ascii="Times New Roman" w:eastAsia="MS Mincho" w:hAnsi="Times New Roman" w:cs="Times New Roman"/>
          <w:b/>
          <w:bCs/>
          <w:sz w:val="20"/>
          <w:szCs w:val="20"/>
        </w:rPr>
        <w:t xml:space="preserve">NEW LAW (AB 131, 2021) </w:t>
      </w:r>
      <w:r w:rsidRPr="000E4F43">
        <w:rPr>
          <w:rFonts w:ascii="Times New Roman" w:eastAsia="MS Mincho" w:hAnsi="Times New Roman" w:cs="Times New Roman"/>
          <w:sz w:val="20"/>
          <w:szCs w:val="20"/>
        </w:rPr>
        <w:t xml:space="preserve">which renumbers the license-exempt California </w:t>
      </w:r>
    </w:p>
    <w:p w14:paraId="27C91ED4" w14:textId="77777777" w:rsidR="000E4F43" w:rsidRPr="000E4F43" w:rsidRDefault="000E4F43" w:rsidP="000E4F43">
      <w:pPr>
        <w:spacing w:after="0" w:line="240" w:lineRule="auto"/>
        <w:ind w:left="720"/>
        <w:jc w:val="both"/>
        <w:rPr>
          <w:rFonts w:ascii="Times New Roman" w:eastAsia="MS Mincho" w:hAnsi="Times New Roman" w:cs="Times New Roman"/>
          <w:sz w:val="20"/>
          <w:szCs w:val="20"/>
        </w:rPr>
      </w:pPr>
      <w:r w:rsidRPr="000E4F43">
        <w:rPr>
          <w:rFonts w:ascii="Times New Roman" w:eastAsia="MS Mincho" w:hAnsi="Times New Roman" w:cs="Times New Roman"/>
          <w:sz w:val="20"/>
          <w:szCs w:val="20"/>
        </w:rPr>
        <w:t xml:space="preserve">State Preschool Program code sections. </w:t>
      </w:r>
    </w:p>
    <w:p w14:paraId="69B07112" w14:textId="60F17903" w:rsidR="000E4F43" w:rsidRDefault="000E4F43" w:rsidP="000E4F43">
      <w:pPr>
        <w:spacing w:after="0" w:line="240" w:lineRule="auto"/>
        <w:jc w:val="both"/>
        <w:rPr>
          <w:rFonts w:ascii="Times New Roman" w:eastAsia="MS Mincho" w:hAnsi="Times New Roman" w:cs="Times New Roman"/>
          <w:sz w:val="20"/>
          <w:szCs w:val="20"/>
        </w:rPr>
      </w:pPr>
    </w:p>
    <w:p w14:paraId="2ABC57BC" w14:textId="1306B44B" w:rsidR="00D74F47" w:rsidRDefault="00D74F47" w:rsidP="000E4F43">
      <w:pPr>
        <w:spacing w:after="0" w:line="240" w:lineRule="auto"/>
        <w:jc w:val="both"/>
        <w:rPr>
          <w:rFonts w:ascii="Times New Roman" w:eastAsia="MS Mincho" w:hAnsi="Times New Roman" w:cs="Times New Roman"/>
          <w:sz w:val="20"/>
          <w:szCs w:val="20"/>
        </w:rPr>
      </w:pPr>
    </w:p>
    <w:p w14:paraId="033F6702" w14:textId="77777777" w:rsidR="00D74F47" w:rsidRPr="000E4F43" w:rsidRDefault="00D74F47" w:rsidP="000E4F43">
      <w:pPr>
        <w:spacing w:after="0" w:line="240" w:lineRule="auto"/>
        <w:jc w:val="both"/>
        <w:rPr>
          <w:rFonts w:ascii="Times New Roman" w:eastAsia="MS Mincho" w:hAnsi="Times New Roman" w:cs="Times New Roman"/>
          <w:sz w:val="20"/>
          <w:szCs w:val="20"/>
        </w:rPr>
      </w:pPr>
    </w:p>
    <w:p w14:paraId="30EEB960" w14:textId="77777777" w:rsidR="000E4F43" w:rsidRPr="000E4F43" w:rsidRDefault="000E4F43" w:rsidP="000E4F43">
      <w:pPr>
        <w:spacing w:after="0" w:line="240" w:lineRule="auto"/>
        <w:jc w:val="both"/>
        <w:rPr>
          <w:rFonts w:ascii="Times New Roman" w:eastAsia="MS Mincho" w:hAnsi="Times New Roman" w:cs="Times New Roman"/>
          <w:b/>
          <w:bCs/>
          <w:sz w:val="20"/>
          <w:szCs w:val="20"/>
        </w:rPr>
      </w:pPr>
      <w:r w:rsidRPr="000E4F43">
        <w:rPr>
          <w:rFonts w:ascii="Times New Roman" w:eastAsia="MS Mincho" w:hAnsi="Times New Roman" w:cs="Times New Roman"/>
          <w:b/>
          <w:bCs/>
          <w:sz w:val="20"/>
          <w:szCs w:val="20"/>
        </w:rPr>
        <w:t>Exhibit(2) 1312.3 - Uniform Complaint Procedures</w:t>
      </w:r>
    </w:p>
    <w:p w14:paraId="514A58B0" w14:textId="77777777" w:rsidR="000E4F43" w:rsidRPr="000E4F43" w:rsidRDefault="000E4F43" w:rsidP="000E4F43">
      <w:pPr>
        <w:spacing w:after="0" w:line="240" w:lineRule="auto"/>
        <w:ind w:left="720"/>
        <w:jc w:val="both"/>
        <w:rPr>
          <w:rFonts w:ascii="Times New Roman" w:eastAsia="MS Mincho" w:hAnsi="Times New Roman" w:cs="Times New Roman"/>
          <w:sz w:val="20"/>
          <w:szCs w:val="20"/>
        </w:rPr>
      </w:pPr>
      <w:r w:rsidRPr="000E4F43">
        <w:rPr>
          <w:rFonts w:ascii="Times New Roman" w:eastAsia="MS Mincho" w:hAnsi="Times New Roman" w:cs="Times New Roman"/>
          <w:sz w:val="20"/>
          <w:szCs w:val="20"/>
        </w:rPr>
        <w:t xml:space="preserve">Exhibit updated to reflect </w:t>
      </w:r>
      <w:r w:rsidRPr="000E4F43">
        <w:rPr>
          <w:rFonts w:ascii="Times New Roman" w:eastAsia="MS Mincho" w:hAnsi="Times New Roman" w:cs="Times New Roman"/>
          <w:b/>
          <w:bCs/>
          <w:sz w:val="20"/>
          <w:szCs w:val="20"/>
        </w:rPr>
        <w:t xml:space="preserve">NEW LAW (AB 131, 2021) </w:t>
      </w:r>
      <w:r w:rsidRPr="000E4F43">
        <w:rPr>
          <w:rFonts w:ascii="Times New Roman" w:eastAsia="MS Mincho" w:hAnsi="Times New Roman" w:cs="Times New Roman"/>
          <w:sz w:val="20"/>
          <w:szCs w:val="20"/>
        </w:rPr>
        <w:t>which renumbers the license-exempt California State Preschool Program code sections.</w:t>
      </w:r>
    </w:p>
    <w:p w14:paraId="0000001C" w14:textId="1A7B6EC5" w:rsidR="00476C25" w:rsidRDefault="00476C25">
      <w:pPr>
        <w:spacing w:after="0" w:line="240" w:lineRule="auto"/>
        <w:rPr>
          <w:rFonts w:ascii="Times New Roman" w:eastAsia="Times New Roman" w:hAnsi="Times New Roman" w:cs="Times New Roman"/>
          <w:b/>
          <w:sz w:val="20"/>
          <w:szCs w:val="20"/>
        </w:rPr>
      </w:pPr>
    </w:p>
    <w:p w14:paraId="0C554167" w14:textId="76C7F26A" w:rsidR="000E4F43" w:rsidRDefault="000E4F43">
      <w:pPr>
        <w:spacing w:after="0" w:line="240" w:lineRule="auto"/>
        <w:rPr>
          <w:rFonts w:ascii="Times New Roman" w:eastAsia="Times New Roman" w:hAnsi="Times New Roman" w:cs="Times New Roman"/>
          <w:b/>
          <w:sz w:val="20"/>
          <w:szCs w:val="20"/>
        </w:rPr>
      </w:pPr>
    </w:p>
    <w:p w14:paraId="6FABB3C2" w14:textId="31041AB7" w:rsidR="00D74F47" w:rsidRDefault="00D74F47">
      <w:pPr>
        <w:spacing w:after="0" w:line="240" w:lineRule="auto"/>
        <w:rPr>
          <w:rFonts w:ascii="Times New Roman" w:eastAsia="Times New Roman" w:hAnsi="Times New Roman" w:cs="Times New Roman"/>
          <w:b/>
          <w:sz w:val="20"/>
          <w:szCs w:val="20"/>
        </w:rPr>
      </w:pPr>
    </w:p>
    <w:p w14:paraId="0581A6A4" w14:textId="77777777" w:rsidR="00D74F47" w:rsidRDefault="00D74F47">
      <w:pPr>
        <w:spacing w:after="0" w:line="240" w:lineRule="auto"/>
        <w:rPr>
          <w:rFonts w:ascii="Times New Roman" w:eastAsia="Times New Roman" w:hAnsi="Times New Roman" w:cs="Times New Roman"/>
          <w:b/>
          <w:sz w:val="20"/>
          <w:szCs w:val="20"/>
        </w:rPr>
      </w:pPr>
    </w:p>
    <w:p w14:paraId="19D0B10B" w14:textId="77777777" w:rsidR="000E4F43" w:rsidRPr="000E4F43" w:rsidRDefault="000E4F43" w:rsidP="000E4F43">
      <w:pPr>
        <w:spacing w:after="0" w:line="240" w:lineRule="auto"/>
        <w:jc w:val="both"/>
        <w:rPr>
          <w:rFonts w:ascii="Times New Roman" w:eastAsia="MS Mincho" w:hAnsi="Times New Roman" w:cs="Times New Roman"/>
          <w:b/>
          <w:bCs/>
          <w:sz w:val="20"/>
          <w:szCs w:val="20"/>
        </w:rPr>
      </w:pPr>
      <w:r w:rsidRPr="000E4F43">
        <w:rPr>
          <w:rFonts w:ascii="Times New Roman" w:eastAsia="MS Mincho" w:hAnsi="Times New Roman" w:cs="Times New Roman"/>
          <w:b/>
          <w:bCs/>
          <w:sz w:val="20"/>
          <w:szCs w:val="20"/>
        </w:rPr>
        <w:t>Administrative Regulation 4217.3 - Layoff/Rehire</w:t>
      </w:r>
    </w:p>
    <w:p w14:paraId="7624ADA9" w14:textId="77777777" w:rsidR="000E4F43" w:rsidRPr="000E4F43" w:rsidRDefault="000E4F43" w:rsidP="000E4F43">
      <w:pPr>
        <w:spacing w:after="0" w:line="240" w:lineRule="auto"/>
        <w:ind w:left="720"/>
        <w:jc w:val="both"/>
        <w:rPr>
          <w:rFonts w:ascii="Times New Roman" w:eastAsia="MS Mincho" w:hAnsi="Times New Roman" w:cs="Times New Roman"/>
          <w:sz w:val="20"/>
          <w:szCs w:val="20"/>
        </w:rPr>
      </w:pPr>
      <w:r w:rsidRPr="000E4F43">
        <w:rPr>
          <w:rFonts w:ascii="Times New Roman" w:eastAsia="MS Mincho" w:hAnsi="Times New Roman" w:cs="Times New Roman"/>
          <w:sz w:val="20"/>
          <w:szCs w:val="20"/>
        </w:rPr>
        <w:t xml:space="preserve">Regulation updated to add descriptions to the OPTION headings for the determination of "length of service" for order of layoff purposes, reflect </w:t>
      </w:r>
      <w:r w:rsidRPr="000E4F43">
        <w:rPr>
          <w:rFonts w:ascii="Times New Roman" w:eastAsia="MS Mincho" w:hAnsi="Times New Roman" w:cs="Times New Roman"/>
          <w:b/>
          <w:bCs/>
          <w:sz w:val="20"/>
          <w:szCs w:val="20"/>
        </w:rPr>
        <w:t xml:space="preserve">NEW LAW (AB 438, 2021) </w:t>
      </w:r>
      <w:r w:rsidRPr="000E4F43">
        <w:rPr>
          <w:rFonts w:ascii="Times New Roman" w:eastAsia="MS Mincho" w:hAnsi="Times New Roman" w:cs="Times New Roman"/>
          <w:sz w:val="20"/>
          <w:szCs w:val="20"/>
        </w:rPr>
        <w:t xml:space="preserve">which, for both merit and non-merit districts, specifies notice requirements and hearing rights districts must provide to permanent classified employees, as defined, who are subject to layoff due to lack of work or lack of funds, including that notice be given no later than March 15, and that classified staff may be reduced due to lack of work or lack of funds when the governing board determines during the time between five days after the enactment of an annual Budget Act and August 15 of the fiscal year to which the Budget Act applies that the district's local control funding formula apportionment per unit of average daily attendance for the fiscal year of the Budget Act has not increased by at least two percent. Regulation also updated to provide material regarding a permanent </w:t>
      </w:r>
      <w:r w:rsidRPr="000E4F43">
        <w:rPr>
          <w:rFonts w:ascii="Times New Roman" w:eastAsia="MS Mincho" w:hAnsi="Times New Roman" w:cs="Times New Roman"/>
          <w:sz w:val="20"/>
          <w:szCs w:val="20"/>
        </w:rPr>
        <w:lastRenderedPageBreak/>
        <w:t>classified employee's request for a hearing, including a hearing before an administrative law judge in which the board makes the final decision regarding the sufficiency of the cause and disposition of the layoff, provide material regarding final notice before May 15 to employees affected by the layoff unless a continuance is granted, add material regarding notice to affected employees when classified positions are eliminated as a result of the expiration of a specifically funded program, and include that districts may release probationary classified employees without notice or hearing for reasons other than lack of work or lack of funds.</w:t>
      </w:r>
    </w:p>
    <w:p w14:paraId="631FFA84" w14:textId="77777777" w:rsidR="000E4F43" w:rsidRDefault="000E4F43">
      <w:pPr>
        <w:spacing w:after="0" w:line="240" w:lineRule="auto"/>
        <w:rPr>
          <w:rFonts w:ascii="Times New Roman" w:eastAsia="Times New Roman" w:hAnsi="Times New Roman" w:cs="Times New Roman"/>
          <w:b/>
          <w:sz w:val="20"/>
          <w:szCs w:val="20"/>
        </w:rPr>
      </w:pPr>
    </w:p>
    <w:p w14:paraId="0000001D" w14:textId="77777777" w:rsidR="00476C25" w:rsidRDefault="00476C25">
      <w:pPr>
        <w:spacing w:after="0" w:line="240" w:lineRule="auto"/>
        <w:rPr>
          <w:rFonts w:ascii="Times New Roman" w:eastAsia="Times New Roman" w:hAnsi="Times New Roman" w:cs="Times New Roman"/>
          <w:b/>
          <w:sz w:val="20"/>
          <w:szCs w:val="20"/>
        </w:rPr>
      </w:pPr>
    </w:p>
    <w:p w14:paraId="0000001E" w14:textId="77777777" w:rsidR="00476C25" w:rsidRDefault="00476C25">
      <w:pPr>
        <w:spacing w:after="0" w:line="240" w:lineRule="auto"/>
        <w:rPr>
          <w:rFonts w:ascii="Times New Roman" w:eastAsia="Times New Roman" w:hAnsi="Times New Roman" w:cs="Times New Roman"/>
          <w:b/>
          <w:sz w:val="20"/>
          <w:szCs w:val="20"/>
        </w:rPr>
      </w:pPr>
    </w:p>
    <w:p w14:paraId="0000001F" w14:textId="77777777" w:rsidR="00476C25" w:rsidRDefault="00EF797C">
      <w:pPr>
        <w:spacing w:before="240"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Board Policy 5145.9 - Hate-Motivated Behavior</w:t>
      </w:r>
    </w:p>
    <w:p w14:paraId="60D576AA" w14:textId="20191A70" w:rsidR="00D74F47" w:rsidRDefault="00EF797C" w:rsidP="00D74F47">
      <w:pPr>
        <w:spacing w:after="0"/>
        <w:ind w:left="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Policy updated to bolster the governing board's commitment to providing a respectful, inclusive, and safe learning environment, including adding a</w:t>
      </w:r>
      <w:r>
        <w:rPr>
          <w:rFonts w:ascii="Times New Roman" w:eastAsia="Times New Roman" w:hAnsi="Times New Roman" w:cs="Times New Roman"/>
          <w:b/>
          <w:sz w:val="20"/>
          <w:szCs w:val="20"/>
        </w:rPr>
        <w:t xml:space="preserve"> definition of hate-motivated behavior which incorporates a list of characteristics which may motivate prohibited behavior, reflecting the importance of celebrating diversity, enhancing the list of topics for student instruction and staff development, addi</w:t>
      </w:r>
      <w:r>
        <w:rPr>
          <w:rFonts w:ascii="Times New Roman" w:eastAsia="Times New Roman" w:hAnsi="Times New Roman" w:cs="Times New Roman"/>
          <w:b/>
          <w:sz w:val="20"/>
          <w:szCs w:val="20"/>
        </w:rPr>
        <w:t>ng material regarding regularly occurring staff training, and including student and staff discipline for engaging in hate-motivated behavior. Policy also updated to include the requirement to post the policy in a prominent location on the district's web si</w:t>
      </w:r>
      <w:r>
        <w:rPr>
          <w:rFonts w:ascii="Times New Roman" w:eastAsia="Times New Roman" w:hAnsi="Times New Roman" w:cs="Times New Roman"/>
          <w:b/>
          <w:sz w:val="20"/>
          <w:szCs w:val="20"/>
        </w:rPr>
        <w:t xml:space="preserve">te and add that, in addition to other staff listed, complaints may be reported to the district's compliance officer. </w:t>
      </w:r>
    </w:p>
    <w:p w14:paraId="7E17F3C8" w14:textId="0FA27BB6" w:rsidR="00D74F47" w:rsidRDefault="00D74F47" w:rsidP="00D74F47">
      <w:pPr>
        <w:spacing w:after="0"/>
        <w:ind w:left="720"/>
        <w:jc w:val="both"/>
        <w:rPr>
          <w:rFonts w:ascii="Times New Roman" w:eastAsia="Times New Roman" w:hAnsi="Times New Roman" w:cs="Times New Roman"/>
          <w:b/>
          <w:sz w:val="20"/>
          <w:szCs w:val="20"/>
        </w:rPr>
      </w:pPr>
    </w:p>
    <w:p w14:paraId="6770A7B1" w14:textId="77777777" w:rsidR="00D74F47" w:rsidRDefault="00D74F47" w:rsidP="00D74F47">
      <w:pPr>
        <w:spacing w:after="0"/>
        <w:ind w:left="720"/>
        <w:jc w:val="both"/>
        <w:rPr>
          <w:rFonts w:ascii="Times New Roman" w:eastAsia="Times New Roman" w:hAnsi="Times New Roman" w:cs="Times New Roman"/>
          <w:b/>
          <w:sz w:val="20"/>
          <w:szCs w:val="20"/>
        </w:rPr>
      </w:pPr>
    </w:p>
    <w:p w14:paraId="7EC1A9AA" w14:textId="179590B7" w:rsidR="00D74F47" w:rsidRDefault="00D74F47">
      <w:pPr>
        <w:spacing w:after="0"/>
        <w:ind w:left="720"/>
        <w:jc w:val="both"/>
        <w:rPr>
          <w:rFonts w:ascii="Times New Roman" w:eastAsia="Times New Roman" w:hAnsi="Times New Roman" w:cs="Times New Roman"/>
          <w:b/>
          <w:sz w:val="20"/>
          <w:szCs w:val="20"/>
        </w:rPr>
      </w:pPr>
    </w:p>
    <w:p w14:paraId="28457AAC" w14:textId="77777777" w:rsidR="00D74F47" w:rsidRPr="00D74F47" w:rsidRDefault="00D74F47" w:rsidP="00D74F47">
      <w:pPr>
        <w:spacing w:after="0" w:line="240" w:lineRule="auto"/>
        <w:jc w:val="both"/>
        <w:rPr>
          <w:rFonts w:ascii="Times New Roman" w:eastAsia="MS Mincho" w:hAnsi="Times New Roman" w:cs="Times New Roman"/>
          <w:b/>
          <w:bCs/>
          <w:sz w:val="20"/>
          <w:szCs w:val="20"/>
        </w:rPr>
      </w:pPr>
      <w:r w:rsidRPr="00D74F47">
        <w:rPr>
          <w:rFonts w:ascii="Times New Roman" w:eastAsia="MS Mincho" w:hAnsi="Times New Roman" w:cs="Times New Roman"/>
          <w:b/>
          <w:bCs/>
          <w:sz w:val="20"/>
          <w:szCs w:val="20"/>
        </w:rPr>
        <w:t>Board Policy 6158 - Independent Study</w:t>
      </w:r>
    </w:p>
    <w:p w14:paraId="0C7FF207" w14:textId="77777777" w:rsidR="00D74F47" w:rsidRPr="00D74F47" w:rsidRDefault="00D74F47" w:rsidP="00D74F47">
      <w:pPr>
        <w:spacing w:after="0" w:line="240" w:lineRule="auto"/>
        <w:ind w:left="720"/>
        <w:jc w:val="both"/>
        <w:rPr>
          <w:rFonts w:ascii="Times New Roman" w:eastAsia="MS Mincho" w:hAnsi="Times New Roman" w:cs="Times New Roman"/>
          <w:sz w:val="20"/>
          <w:szCs w:val="20"/>
        </w:rPr>
      </w:pPr>
      <w:r w:rsidRPr="00D74F47">
        <w:rPr>
          <w:rFonts w:ascii="Times New Roman" w:eastAsia="MS Mincho" w:hAnsi="Times New Roman" w:cs="Times New Roman"/>
          <w:sz w:val="20"/>
          <w:szCs w:val="20"/>
        </w:rPr>
        <w:t xml:space="preserve">Policy updated to reflect </w:t>
      </w:r>
      <w:r w:rsidRPr="00D74F47">
        <w:rPr>
          <w:rFonts w:ascii="Times New Roman" w:eastAsia="MS Mincho" w:hAnsi="Times New Roman" w:cs="Times New Roman"/>
          <w:b/>
          <w:bCs/>
          <w:sz w:val="20"/>
          <w:szCs w:val="20"/>
        </w:rPr>
        <w:t>NEW LAW (AB 167, 2021)</w:t>
      </w:r>
      <w:r w:rsidRPr="00D74F47">
        <w:rPr>
          <w:rFonts w:ascii="Times New Roman" w:eastAsia="MS Mincho" w:hAnsi="Times New Roman" w:cs="Times New Roman"/>
          <w:sz w:val="20"/>
          <w:szCs w:val="20"/>
        </w:rPr>
        <w:t xml:space="preserve"> which relaxes certain independent study (IS) requirements with respect to any student who is unable to attend in-person instruction due to a quarantine or school closure during the 2021-22 school year and to incorporate California Department of Education program clarifications, including that a district is permitted to (1) require students who cannot participate in classroom-based instruction during the school year due to quarantine or school closure because of infection with or exposure to COVID-19 to participate in IS, (2) claim apportionment credit for such students' participation in IS for fewer than the minimum three consecutive days generally required for IS, and (3) obtain a signed written agreement from each participating student not later than 30 days after IS begins, rather than before a student may participate in IS. </w:t>
      </w:r>
    </w:p>
    <w:p w14:paraId="2374AC58" w14:textId="044CA29A" w:rsidR="00D74F47" w:rsidRDefault="00D74F47" w:rsidP="00D74F47">
      <w:pPr>
        <w:spacing w:after="0" w:line="240" w:lineRule="auto"/>
        <w:jc w:val="both"/>
        <w:rPr>
          <w:rFonts w:ascii="Times New Roman" w:eastAsia="MS Mincho" w:hAnsi="Times New Roman" w:cs="Times New Roman"/>
          <w:b/>
          <w:bCs/>
          <w:sz w:val="20"/>
          <w:szCs w:val="20"/>
        </w:rPr>
      </w:pPr>
    </w:p>
    <w:p w14:paraId="0B069270" w14:textId="091F8755" w:rsidR="00D74F47" w:rsidRDefault="00D74F47" w:rsidP="00D74F47">
      <w:pPr>
        <w:spacing w:after="0" w:line="240" w:lineRule="auto"/>
        <w:jc w:val="both"/>
        <w:rPr>
          <w:rFonts w:ascii="Times New Roman" w:eastAsia="MS Mincho" w:hAnsi="Times New Roman" w:cs="Times New Roman"/>
          <w:b/>
          <w:bCs/>
          <w:sz w:val="20"/>
          <w:szCs w:val="20"/>
        </w:rPr>
      </w:pPr>
    </w:p>
    <w:p w14:paraId="19977AE8" w14:textId="77777777" w:rsidR="00D74F47" w:rsidRPr="00D74F47" w:rsidRDefault="00D74F47" w:rsidP="00D74F47">
      <w:pPr>
        <w:spacing w:after="0" w:line="240" w:lineRule="auto"/>
        <w:jc w:val="both"/>
        <w:rPr>
          <w:rFonts w:ascii="Times New Roman" w:eastAsia="MS Mincho" w:hAnsi="Times New Roman" w:cs="Times New Roman"/>
          <w:b/>
          <w:bCs/>
          <w:sz w:val="20"/>
          <w:szCs w:val="20"/>
        </w:rPr>
      </w:pPr>
    </w:p>
    <w:p w14:paraId="4E046F7B" w14:textId="77777777" w:rsidR="00D74F47" w:rsidRPr="00D74F47" w:rsidRDefault="00D74F47" w:rsidP="00D74F47">
      <w:pPr>
        <w:spacing w:after="0" w:line="240" w:lineRule="auto"/>
        <w:jc w:val="both"/>
        <w:rPr>
          <w:rFonts w:ascii="Times New Roman" w:eastAsia="MS Mincho" w:hAnsi="Times New Roman" w:cs="Times New Roman"/>
          <w:b/>
          <w:bCs/>
          <w:sz w:val="20"/>
          <w:szCs w:val="20"/>
        </w:rPr>
      </w:pPr>
      <w:r w:rsidRPr="00D74F47">
        <w:rPr>
          <w:rFonts w:ascii="Times New Roman" w:eastAsia="MS Mincho" w:hAnsi="Times New Roman" w:cs="Times New Roman"/>
          <w:b/>
          <w:bCs/>
          <w:sz w:val="20"/>
          <w:szCs w:val="20"/>
        </w:rPr>
        <w:t>Administrative Regulation 6158 - Independent Study</w:t>
      </w:r>
    </w:p>
    <w:p w14:paraId="2396646D" w14:textId="3534E081" w:rsidR="00D74F47" w:rsidRPr="00D74F47" w:rsidRDefault="00D74F47" w:rsidP="00D74F47">
      <w:pPr>
        <w:spacing w:after="0" w:line="240" w:lineRule="auto"/>
        <w:ind w:left="720"/>
        <w:jc w:val="both"/>
        <w:rPr>
          <w:rFonts w:ascii="Times New Roman" w:eastAsia="MS Mincho" w:hAnsi="Times New Roman" w:cs="Times New Roman"/>
          <w:sz w:val="20"/>
          <w:szCs w:val="20"/>
        </w:rPr>
      </w:pPr>
      <w:r w:rsidRPr="00D74F47">
        <w:rPr>
          <w:rFonts w:ascii="Times New Roman" w:eastAsia="MS Mincho" w:hAnsi="Times New Roman" w:cs="Times New Roman"/>
          <w:sz w:val="20"/>
          <w:szCs w:val="20"/>
        </w:rPr>
        <w:t xml:space="preserve">Regulation updated to reflect </w:t>
      </w:r>
      <w:r w:rsidRPr="00D74F47">
        <w:rPr>
          <w:rFonts w:ascii="Times New Roman" w:eastAsia="MS Mincho" w:hAnsi="Times New Roman" w:cs="Times New Roman"/>
          <w:b/>
          <w:bCs/>
          <w:sz w:val="20"/>
          <w:szCs w:val="20"/>
        </w:rPr>
        <w:t>NEW LAW (AB 167, 2021)</w:t>
      </w:r>
      <w:r w:rsidRPr="00D74F47">
        <w:rPr>
          <w:rFonts w:ascii="Times New Roman" w:eastAsia="MS Mincho" w:hAnsi="Times New Roman" w:cs="Times New Roman"/>
          <w:sz w:val="20"/>
          <w:szCs w:val="20"/>
        </w:rPr>
        <w:t xml:space="preserve"> which permits districts to offer Independent Study (IS) to students who are unable to attend in-person instruction due to a quarantine pursuant to local or state public health guidance because of exposure to or infection with COVID-19.  Regulation also revised to clarify that a student must be enrolled in school in order to participate in IS.</w:t>
      </w:r>
    </w:p>
    <w:p w14:paraId="0E0720CC" w14:textId="7D07A6A5" w:rsidR="00D74F47" w:rsidRDefault="00D74F47">
      <w:pPr>
        <w:spacing w:after="0"/>
        <w:ind w:left="720"/>
        <w:jc w:val="both"/>
        <w:rPr>
          <w:rFonts w:ascii="Times New Roman" w:eastAsia="Times New Roman" w:hAnsi="Times New Roman" w:cs="Times New Roman"/>
          <w:b/>
          <w:sz w:val="20"/>
          <w:szCs w:val="20"/>
        </w:rPr>
      </w:pPr>
    </w:p>
    <w:p w14:paraId="29910C57" w14:textId="53DD49B1" w:rsidR="00D74F47" w:rsidRDefault="00D74F47">
      <w:pPr>
        <w:spacing w:after="0"/>
        <w:ind w:left="720"/>
        <w:jc w:val="both"/>
        <w:rPr>
          <w:rFonts w:ascii="Times New Roman" w:eastAsia="Times New Roman" w:hAnsi="Times New Roman" w:cs="Times New Roman"/>
          <w:b/>
          <w:sz w:val="20"/>
          <w:szCs w:val="20"/>
        </w:rPr>
      </w:pPr>
    </w:p>
    <w:p w14:paraId="6B60F639" w14:textId="77777777" w:rsidR="00D74F47" w:rsidRDefault="00D74F47">
      <w:pPr>
        <w:spacing w:after="0"/>
        <w:ind w:left="720"/>
        <w:jc w:val="both"/>
        <w:rPr>
          <w:rFonts w:ascii="Times New Roman" w:eastAsia="Times New Roman" w:hAnsi="Times New Roman" w:cs="Times New Roman"/>
          <w:b/>
          <w:sz w:val="20"/>
          <w:szCs w:val="20"/>
        </w:rPr>
      </w:pPr>
    </w:p>
    <w:p w14:paraId="5F2F2D98" w14:textId="77777777" w:rsidR="00D74F47" w:rsidRPr="00D74F47" w:rsidRDefault="00D74F47" w:rsidP="00D74F47">
      <w:pPr>
        <w:spacing w:after="0" w:line="240" w:lineRule="auto"/>
        <w:jc w:val="both"/>
        <w:rPr>
          <w:rFonts w:ascii="Times New Roman" w:eastAsiaTheme="minorHAnsi" w:hAnsi="Times New Roman" w:cs="Times New Roman"/>
          <w:b/>
          <w:bCs/>
          <w:sz w:val="20"/>
          <w:szCs w:val="20"/>
        </w:rPr>
      </w:pPr>
      <w:r w:rsidRPr="00D74F47">
        <w:rPr>
          <w:rFonts w:ascii="Times New Roman" w:eastAsiaTheme="minorHAnsi" w:hAnsi="Times New Roman" w:cs="Times New Roman"/>
          <w:b/>
          <w:bCs/>
          <w:sz w:val="20"/>
          <w:szCs w:val="20"/>
        </w:rPr>
        <w:t xml:space="preserve">Board Policy 6164.5 - Student Success Teams </w:t>
      </w:r>
    </w:p>
    <w:p w14:paraId="2FF51243" w14:textId="77777777" w:rsidR="00D74F47" w:rsidRPr="00D74F47" w:rsidRDefault="00D74F47" w:rsidP="00D74F47">
      <w:pPr>
        <w:spacing w:after="0" w:line="240" w:lineRule="auto"/>
        <w:ind w:left="720"/>
        <w:jc w:val="both"/>
        <w:rPr>
          <w:rFonts w:ascii="Times New Roman" w:eastAsiaTheme="minorHAnsi" w:hAnsi="Times New Roman" w:cs="Times New Roman"/>
          <w:sz w:val="20"/>
          <w:szCs w:val="20"/>
        </w:rPr>
      </w:pPr>
      <w:r w:rsidRPr="00D74F47">
        <w:rPr>
          <w:rFonts w:ascii="Times New Roman" w:eastAsiaTheme="minorHAnsi" w:hAnsi="Times New Roman" w:cs="Times New Roman"/>
          <w:sz w:val="20"/>
          <w:szCs w:val="20"/>
        </w:rPr>
        <w:t xml:space="preserve">Policy updated to reference that the student success team (SST) process is not required by law and that the policy reflects best practices, clarify those who are encouraged to collaborate in SSTs, include social and emotional difficulties when evaluating the strengths and needs of students and establishing interventions, emphasize the importance of each student maximizing their potential, specify who may refer students to SSTs, add types of materials appropriate for collection, analysis and review by the SST, provide for the development of a plan to support the student and adjustments to such plan, reflect that the SST process shall not delay or deny a referral for evaluation for eligibility for special education, reference MTSS and the integration of SSTs with such supports, and add staff development which may be provided to strengthen the effectiveness of SSTs. </w:t>
      </w:r>
    </w:p>
    <w:p w14:paraId="67CA5959" w14:textId="77777777" w:rsidR="00D74F47" w:rsidRPr="00D74F47" w:rsidRDefault="00D74F47" w:rsidP="00D74F47">
      <w:pPr>
        <w:spacing w:after="0" w:line="240" w:lineRule="auto"/>
        <w:ind w:left="720"/>
        <w:jc w:val="both"/>
        <w:rPr>
          <w:rFonts w:ascii="Times New Roman" w:eastAsiaTheme="minorHAnsi" w:hAnsi="Times New Roman" w:cs="Times New Roman"/>
          <w:sz w:val="20"/>
          <w:szCs w:val="20"/>
        </w:rPr>
      </w:pPr>
    </w:p>
    <w:p w14:paraId="58D29056" w14:textId="77777777" w:rsidR="00D74F47" w:rsidRPr="00D74F47" w:rsidRDefault="00D74F47" w:rsidP="00D74F47">
      <w:pPr>
        <w:spacing w:after="0" w:line="240" w:lineRule="auto"/>
        <w:jc w:val="both"/>
        <w:rPr>
          <w:rFonts w:ascii="Times New Roman" w:eastAsiaTheme="minorHAnsi" w:hAnsi="Times New Roman" w:cs="Times New Roman"/>
          <w:b/>
          <w:bCs/>
          <w:sz w:val="20"/>
          <w:szCs w:val="20"/>
        </w:rPr>
      </w:pPr>
      <w:r w:rsidRPr="00D74F47">
        <w:rPr>
          <w:rFonts w:ascii="Times New Roman" w:eastAsiaTheme="minorHAnsi" w:hAnsi="Times New Roman" w:cs="Times New Roman"/>
          <w:b/>
          <w:bCs/>
          <w:sz w:val="20"/>
          <w:szCs w:val="20"/>
        </w:rPr>
        <w:lastRenderedPageBreak/>
        <w:t xml:space="preserve">Administrative Regulation 6164.5 - Student Success Teams </w:t>
      </w:r>
    </w:p>
    <w:p w14:paraId="20F80764" w14:textId="77777777" w:rsidR="00D74F47" w:rsidRPr="00D74F47" w:rsidRDefault="00D74F47" w:rsidP="00D74F47">
      <w:pPr>
        <w:spacing w:after="0" w:line="240" w:lineRule="auto"/>
        <w:ind w:left="720"/>
        <w:jc w:val="both"/>
        <w:rPr>
          <w:rFonts w:ascii="Times New Roman" w:eastAsiaTheme="minorHAnsi" w:hAnsi="Times New Roman" w:cs="Times New Roman"/>
          <w:sz w:val="20"/>
          <w:szCs w:val="20"/>
        </w:rPr>
      </w:pPr>
      <w:r w:rsidRPr="00D74F47">
        <w:rPr>
          <w:rFonts w:ascii="Times New Roman" w:eastAsiaTheme="minorHAnsi" w:hAnsi="Times New Roman" w:cs="Times New Roman"/>
          <w:sz w:val="20"/>
          <w:szCs w:val="20"/>
        </w:rPr>
        <w:t xml:space="preserve">Regulation updated to reference that the SST process is not required by law and that the regulation reflects best practices, emphasize the importance of school counselors in the SST membership, provide that the makeup of each individual SST is at the district's discretion, reference the ability of districts to appoint a districtwide or schoolwide SST coordinator, identify teachers specifically as school staff with whom consultation may occur, add types of materials appropriate for collection to inform SST members, and add the development of a plan, and adjustments to the plan and related interventions, as one of the SST responsibilities. </w:t>
      </w:r>
    </w:p>
    <w:p w14:paraId="68669F77" w14:textId="77777777" w:rsidR="00D74F47" w:rsidRDefault="00D74F47" w:rsidP="00D74F47">
      <w:pPr>
        <w:spacing w:after="0" w:line="240" w:lineRule="auto"/>
        <w:jc w:val="both"/>
        <w:rPr>
          <w:rFonts w:ascii="Times New Roman" w:eastAsiaTheme="minorHAnsi" w:hAnsi="Times New Roman" w:cs="Times New Roman"/>
          <w:b/>
          <w:bCs/>
          <w:sz w:val="20"/>
          <w:szCs w:val="20"/>
        </w:rPr>
      </w:pPr>
    </w:p>
    <w:p w14:paraId="430E1C76" w14:textId="77777777" w:rsidR="00D74F47" w:rsidRDefault="00D74F47" w:rsidP="00D74F47">
      <w:pPr>
        <w:spacing w:after="0" w:line="240" w:lineRule="auto"/>
        <w:jc w:val="both"/>
        <w:rPr>
          <w:rFonts w:ascii="Times New Roman" w:eastAsiaTheme="minorHAnsi" w:hAnsi="Times New Roman" w:cs="Times New Roman"/>
          <w:b/>
          <w:bCs/>
          <w:sz w:val="20"/>
          <w:szCs w:val="20"/>
        </w:rPr>
      </w:pPr>
    </w:p>
    <w:p w14:paraId="2A2962C8" w14:textId="4EFC607B" w:rsidR="00D74F47" w:rsidRPr="00D74F47" w:rsidRDefault="00D74F47" w:rsidP="00D74F47">
      <w:pPr>
        <w:spacing w:after="0" w:line="240" w:lineRule="auto"/>
        <w:jc w:val="both"/>
        <w:rPr>
          <w:rFonts w:ascii="Times New Roman" w:eastAsiaTheme="minorHAnsi" w:hAnsi="Times New Roman" w:cs="Times New Roman"/>
          <w:b/>
          <w:bCs/>
          <w:sz w:val="20"/>
          <w:szCs w:val="20"/>
        </w:rPr>
      </w:pPr>
      <w:r w:rsidRPr="00D74F47">
        <w:rPr>
          <w:rFonts w:ascii="Times New Roman" w:eastAsiaTheme="minorHAnsi" w:hAnsi="Times New Roman" w:cs="Times New Roman"/>
          <w:b/>
          <w:bCs/>
          <w:sz w:val="20"/>
          <w:szCs w:val="20"/>
        </w:rPr>
        <w:t>Board Policy 7211 - Developer Fees</w:t>
      </w:r>
    </w:p>
    <w:p w14:paraId="10BF4949" w14:textId="77777777" w:rsidR="00D74F47" w:rsidRPr="00D74F47" w:rsidRDefault="00D74F47" w:rsidP="00D74F47">
      <w:pPr>
        <w:spacing w:after="0" w:line="240" w:lineRule="auto"/>
        <w:ind w:left="720"/>
        <w:jc w:val="both"/>
        <w:rPr>
          <w:rFonts w:ascii="Times New Roman" w:eastAsiaTheme="minorHAnsi" w:hAnsi="Times New Roman" w:cs="Times New Roman"/>
          <w:bCs/>
          <w:sz w:val="20"/>
          <w:szCs w:val="20"/>
        </w:rPr>
      </w:pPr>
      <w:r w:rsidRPr="00D74F47">
        <w:rPr>
          <w:rFonts w:ascii="Times New Roman" w:eastAsiaTheme="minorHAnsi" w:hAnsi="Times New Roman" w:cs="Times New Roman"/>
          <w:bCs/>
          <w:sz w:val="20"/>
          <w:szCs w:val="20"/>
        </w:rPr>
        <w:t>Policy updated to include material formerly in the AR pertaining to responsibilities of the board with respect to levying developer fees, such as conducting a fee justification study, holding a public hearing, and adopting a board resolution.  Policy also clarifies the applicability of Government Code 65997, which became operative due to the failure of state bond measure Proposition 13 in March 2020 and gives districts the flexibility to deny or refuse a legislative act involving the planning, use, or development of real property, other than requiring a fee in excess of the fee imposed by law.  Policy addresses factors that must be included in the fee justification study based on recent court decision.</w:t>
      </w:r>
    </w:p>
    <w:p w14:paraId="156B1E19" w14:textId="48E03C07" w:rsidR="00D74F47" w:rsidRDefault="00D74F47" w:rsidP="00D74F47">
      <w:pPr>
        <w:spacing w:after="0" w:line="240" w:lineRule="auto"/>
        <w:jc w:val="both"/>
        <w:rPr>
          <w:rFonts w:ascii="Times New Roman" w:eastAsiaTheme="minorHAnsi" w:hAnsi="Times New Roman" w:cs="Times New Roman"/>
          <w:b/>
          <w:bCs/>
          <w:sz w:val="20"/>
          <w:szCs w:val="20"/>
        </w:rPr>
      </w:pPr>
    </w:p>
    <w:p w14:paraId="5D6BA3D8" w14:textId="77777777" w:rsidR="00D74F47" w:rsidRPr="00D74F47" w:rsidRDefault="00D74F47" w:rsidP="00D74F47">
      <w:pPr>
        <w:spacing w:after="0" w:line="240" w:lineRule="auto"/>
        <w:jc w:val="both"/>
        <w:rPr>
          <w:rFonts w:ascii="Times New Roman" w:eastAsiaTheme="minorHAnsi" w:hAnsi="Times New Roman" w:cs="Times New Roman"/>
          <w:b/>
          <w:bCs/>
          <w:sz w:val="20"/>
          <w:szCs w:val="20"/>
        </w:rPr>
      </w:pPr>
    </w:p>
    <w:p w14:paraId="496E5320" w14:textId="77777777" w:rsidR="00D74F47" w:rsidRPr="00D74F47" w:rsidRDefault="00D74F47" w:rsidP="00D74F47">
      <w:pPr>
        <w:spacing w:after="0" w:line="240" w:lineRule="auto"/>
        <w:jc w:val="both"/>
        <w:rPr>
          <w:rFonts w:ascii="Times New Roman" w:eastAsiaTheme="minorHAnsi" w:hAnsi="Times New Roman" w:cs="Times New Roman"/>
          <w:b/>
          <w:bCs/>
          <w:sz w:val="20"/>
          <w:szCs w:val="20"/>
        </w:rPr>
      </w:pPr>
      <w:r w:rsidRPr="00D74F47">
        <w:rPr>
          <w:rFonts w:ascii="Times New Roman" w:eastAsiaTheme="minorHAnsi" w:hAnsi="Times New Roman" w:cs="Times New Roman"/>
          <w:b/>
          <w:bCs/>
          <w:sz w:val="20"/>
          <w:szCs w:val="20"/>
        </w:rPr>
        <w:t>Administrative Regulation 7211 - Developer Fees</w:t>
      </w:r>
    </w:p>
    <w:p w14:paraId="2877D100" w14:textId="79AA374D" w:rsidR="00D74F47" w:rsidRDefault="00D74F47" w:rsidP="00D74F47">
      <w:pPr>
        <w:spacing w:after="0" w:line="240" w:lineRule="auto"/>
        <w:ind w:left="720"/>
        <w:jc w:val="both"/>
        <w:rPr>
          <w:rFonts w:ascii="Times New Roman" w:eastAsiaTheme="minorHAnsi" w:hAnsi="Times New Roman" w:cs="Times New Roman"/>
          <w:sz w:val="20"/>
          <w:szCs w:val="20"/>
        </w:rPr>
      </w:pPr>
      <w:r w:rsidRPr="00D74F47">
        <w:rPr>
          <w:rFonts w:ascii="Times New Roman" w:eastAsiaTheme="minorHAnsi" w:hAnsi="Times New Roman" w:cs="Times New Roman"/>
          <w:sz w:val="20"/>
          <w:szCs w:val="20"/>
        </w:rPr>
        <w:t xml:space="preserve">Regulation revised to delete board responsibilities pertaining to the imposition of developer fees, now addressed in the BP, and to require the superintendent or designee to provide specified information regarding capital facilities accounts to the board as well as the public. </w:t>
      </w:r>
    </w:p>
    <w:p w14:paraId="12188F4B" w14:textId="62F27B47" w:rsidR="00D74F47" w:rsidRDefault="00D74F47" w:rsidP="00D74F47">
      <w:pPr>
        <w:spacing w:after="0" w:line="240" w:lineRule="auto"/>
        <w:ind w:left="720"/>
        <w:jc w:val="both"/>
        <w:rPr>
          <w:rFonts w:ascii="Times New Roman" w:eastAsiaTheme="minorHAnsi" w:hAnsi="Times New Roman" w:cs="Times New Roman"/>
          <w:sz w:val="20"/>
          <w:szCs w:val="20"/>
        </w:rPr>
      </w:pPr>
    </w:p>
    <w:p w14:paraId="0B703F71" w14:textId="77777777" w:rsidR="00D74F47" w:rsidRPr="00D74F47" w:rsidRDefault="00D74F47" w:rsidP="00D74F47">
      <w:pPr>
        <w:spacing w:after="0" w:line="240" w:lineRule="auto"/>
        <w:ind w:left="720"/>
        <w:jc w:val="both"/>
        <w:rPr>
          <w:rFonts w:ascii="Times New Roman" w:eastAsiaTheme="minorHAnsi" w:hAnsi="Times New Roman" w:cs="Times New Roman"/>
          <w:sz w:val="20"/>
          <w:szCs w:val="20"/>
        </w:rPr>
      </w:pPr>
      <w:bookmarkStart w:id="0" w:name="_GoBack"/>
      <w:bookmarkEnd w:id="0"/>
    </w:p>
    <w:p w14:paraId="59684965" w14:textId="035EAFB8" w:rsidR="00D74F47" w:rsidRPr="00D74F47" w:rsidRDefault="00D74F47" w:rsidP="00D74F47">
      <w:pPr>
        <w:spacing w:after="0" w:line="240" w:lineRule="auto"/>
        <w:ind w:left="720"/>
        <w:jc w:val="both"/>
        <w:rPr>
          <w:rFonts w:ascii="Times New Roman" w:eastAsiaTheme="minorHAnsi" w:hAnsi="Times New Roman" w:cs="Times New Roman"/>
          <w:sz w:val="20"/>
          <w:szCs w:val="20"/>
        </w:rPr>
      </w:pPr>
    </w:p>
    <w:p w14:paraId="721D6599" w14:textId="77777777" w:rsidR="00D74F47" w:rsidRPr="00D74F47" w:rsidRDefault="00D74F47" w:rsidP="00D74F47">
      <w:pPr>
        <w:spacing w:after="0" w:line="240" w:lineRule="auto"/>
        <w:jc w:val="both"/>
        <w:rPr>
          <w:rFonts w:ascii="Times New Roman" w:eastAsia="MS Mincho" w:hAnsi="Times New Roman" w:cs="Times New Roman"/>
          <w:b/>
          <w:bCs/>
          <w:sz w:val="20"/>
          <w:szCs w:val="20"/>
        </w:rPr>
      </w:pPr>
      <w:r w:rsidRPr="00D74F47">
        <w:rPr>
          <w:rFonts w:ascii="Times New Roman" w:eastAsia="MS Mincho" w:hAnsi="Times New Roman" w:cs="Times New Roman"/>
          <w:b/>
          <w:bCs/>
          <w:sz w:val="20"/>
          <w:szCs w:val="20"/>
        </w:rPr>
        <w:t>Board Bylaw 9320 - Meetings and Notices</w:t>
      </w:r>
    </w:p>
    <w:p w14:paraId="6CCF99FD" w14:textId="77777777" w:rsidR="00D74F47" w:rsidRPr="00D74F47" w:rsidRDefault="00D74F47" w:rsidP="00D74F47">
      <w:pPr>
        <w:spacing w:after="0" w:line="240" w:lineRule="auto"/>
        <w:ind w:left="720"/>
        <w:jc w:val="both"/>
        <w:rPr>
          <w:rFonts w:ascii="Times New Roman" w:eastAsia="MS Mincho" w:hAnsi="Times New Roman" w:cs="Times New Roman"/>
          <w:sz w:val="20"/>
          <w:szCs w:val="20"/>
        </w:rPr>
      </w:pPr>
      <w:r w:rsidRPr="00D74F47">
        <w:rPr>
          <w:rFonts w:ascii="Times New Roman" w:eastAsia="MS Mincho" w:hAnsi="Times New Roman" w:cs="Times New Roman"/>
          <w:sz w:val="20"/>
          <w:szCs w:val="20"/>
        </w:rPr>
        <w:t xml:space="preserve">Bylaw updated to clarify that it is discussion among themselves, via technology, of a majority of the governing board regarding an item within the subject matter jurisdiction of the board that can result in a violation of the Brown Act, and that agenda materials are required to be made available for public inspection at the time the materials are distributed to all or a majority of the board when agenda materials relating to an open session of a regular meeting are distributed to the board less than 72 hours before the meeting. Bylaw also updated to add a new section "Teleconferencing During a Proclaimed State of Emergency" which reflects </w:t>
      </w:r>
      <w:r w:rsidRPr="00D74F47">
        <w:rPr>
          <w:rFonts w:ascii="Times New Roman" w:eastAsia="MS Mincho" w:hAnsi="Times New Roman" w:cs="Times New Roman"/>
          <w:b/>
          <w:bCs/>
          <w:sz w:val="20"/>
          <w:szCs w:val="20"/>
        </w:rPr>
        <w:t>NEW LAW</w:t>
      </w:r>
      <w:r w:rsidRPr="00D74F47">
        <w:rPr>
          <w:rFonts w:ascii="Times New Roman" w:eastAsia="MS Mincho" w:hAnsi="Times New Roman" w:cs="Times New Roman"/>
          <w:sz w:val="20"/>
          <w:szCs w:val="20"/>
        </w:rPr>
        <w:t xml:space="preserve"> </w:t>
      </w:r>
      <w:r w:rsidRPr="00D74F47">
        <w:rPr>
          <w:rFonts w:ascii="Times New Roman" w:eastAsia="MS Mincho" w:hAnsi="Times New Roman" w:cs="Times New Roman"/>
          <w:b/>
          <w:bCs/>
          <w:sz w:val="20"/>
          <w:szCs w:val="20"/>
        </w:rPr>
        <w:t xml:space="preserve">(AB 361, 2021) </w:t>
      </w:r>
      <w:r w:rsidRPr="00D74F47">
        <w:rPr>
          <w:rFonts w:ascii="Times New Roman" w:eastAsia="MS Mincho" w:hAnsi="Times New Roman" w:cs="Times New Roman"/>
          <w:sz w:val="20"/>
          <w:szCs w:val="20"/>
        </w:rPr>
        <w:t>that (1) authorizes boards, until January 1, 2024, to conduct board meetings by teleconference, as specified, without</w:t>
      </w:r>
      <w:r w:rsidRPr="00D74F47">
        <w:rPr>
          <w:rFonts w:ascii="Times New Roman" w:eastAsia="Times New Roman" w:hAnsi="Times New Roman" w:cs="Times New Roman"/>
          <w:sz w:val="24"/>
          <w:szCs w:val="24"/>
        </w:rPr>
        <w:t xml:space="preserve"> </w:t>
      </w:r>
      <w:r w:rsidRPr="00D74F47">
        <w:rPr>
          <w:rFonts w:ascii="Times New Roman" w:eastAsia="MS Mincho" w:hAnsi="Times New Roman" w:cs="Times New Roman"/>
          <w:sz w:val="20"/>
          <w:szCs w:val="20"/>
        </w:rPr>
        <w:t>meeting certain requirements otherwise required of teleconference meetings when holding a board meeting during a proclaimed state of emergency when state or local officials have imposed or recommend measures to promote social distancing; to determine whether, as a result of an emergency, meeting in person would present imminent risks to the health or safety of attendees; or when it has been determined, as a result of an emergency, that meeting in person would present imminent risks to the health or safety of attendees, (2) includes that the district may, in its discretion, provide a physical location from which the public may attend or comment and, (3) provides that the board may continue to conduct meetings by teleconference during proclaimed states of emergency by a majority vote finding within 30 days after teleconferencing for the first time and every 30 days thereafter that either the state of emergency continues to directly impact the ability of the board to meet safely in person or that state or local officials continue to impose or recommend measures to promote social distancing.</w:t>
      </w:r>
    </w:p>
    <w:p w14:paraId="48918712" w14:textId="77777777" w:rsidR="00D74F47" w:rsidRDefault="00D74F47">
      <w:pPr>
        <w:spacing w:after="0"/>
        <w:ind w:left="720"/>
        <w:jc w:val="both"/>
        <w:rPr>
          <w:rFonts w:ascii="Times New Roman" w:eastAsia="Times New Roman" w:hAnsi="Times New Roman" w:cs="Times New Roman"/>
          <w:b/>
          <w:sz w:val="20"/>
          <w:szCs w:val="20"/>
        </w:rPr>
      </w:pPr>
    </w:p>
    <w:p w14:paraId="00000021" w14:textId="77777777" w:rsidR="00476C25" w:rsidRDefault="00476C25">
      <w:pPr>
        <w:spacing w:before="240" w:after="0" w:line="240" w:lineRule="auto"/>
        <w:jc w:val="both"/>
        <w:rPr>
          <w:rFonts w:ascii="Times New Roman" w:eastAsia="Times New Roman" w:hAnsi="Times New Roman" w:cs="Times New Roman"/>
          <w:b/>
          <w:sz w:val="20"/>
          <w:szCs w:val="20"/>
        </w:rPr>
      </w:pPr>
    </w:p>
    <w:p w14:paraId="00000024" w14:textId="77777777" w:rsidR="00476C25" w:rsidRDefault="00476C25">
      <w:pPr>
        <w:spacing w:after="0" w:line="240" w:lineRule="auto"/>
        <w:rPr>
          <w:rFonts w:ascii="Times New Roman" w:eastAsia="Times New Roman" w:hAnsi="Times New Roman" w:cs="Times New Roman"/>
          <w:b/>
          <w:sz w:val="20"/>
          <w:szCs w:val="20"/>
        </w:rPr>
      </w:pPr>
    </w:p>
    <w:p w14:paraId="00000025" w14:textId="77777777" w:rsidR="00476C25" w:rsidRDefault="00476C25">
      <w:pPr>
        <w:spacing w:after="0"/>
        <w:jc w:val="both"/>
        <w:rPr>
          <w:rFonts w:ascii="Times New Roman" w:eastAsia="Times New Roman" w:hAnsi="Times New Roman" w:cs="Times New Roman"/>
          <w:b/>
          <w:sz w:val="20"/>
          <w:szCs w:val="20"/>
        </w:rPr>
      </w:pPr>
    </w:p>
    <w:p w14:paraId="00000026" w14:textId="77777777" w:rsidR="00476C25" w:rsidRDefault="00476C25">
      <w:pPr>
        <w:spacing w:after="0" w:line="240" w:lineRule="auto"/>
        <w:rPr>
          <w:rFonts w:ascii="Times New Roman" w:eastAsia="Times New Roman" w:hAnsi="Times New Roman" w:cs="Times New Roman"/>
          <w:b/>
          <w:sz w:val="20"/>
          <w:szCs w:val="20"/>
        </w:rPr>
      </w:pPr>
    </w:p>
    <w:sectPr w:rsidR="00476C2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D24EE" w14:textId="77777777" w:rsidR="00EF797C" w:rsidRDefault="00EF797C">
      <w:pPr>
        <w:spacing w:after="0" w:line="240" w:lineRule="auto"/>
      </w:pPr>
      <w:r>
        <w:separator/>
      </w:r>
    </w:p>
  </w:endnote>
  <w:endnote w:type="continuationSeparator" w:id="0">
    <w:p w14:paraId="3EC61C53" w14:textId="77777777" w:rsidR="00EF797C" w:rsidRDefault="00EF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8" w14:textId="4C91E021" w:rsidR="00476C25" w:rsidRDefault="000E4F43">
    <w:r>
      <w:t>01.12.22</w:t>
    </w:r>
    <w:r w:rsidR="00EF797C">
      <w:t xml:space="preserve"> 1st reading guide sheet</w:t>
    </w:r>
    <w:r w:rsidR="00EF797C">
      <w:tab/>
    </w:r>
    <w:r w:rsidR="00EF797C">
      <w:fldChar w:fldCharType="begin"/>
    </w:r>
    <w:r w:rsidR="00EF797C">
      <w:instrText>PAGE</w:instrText>
    </w:r>
    <w:r>
      <w:fldChar w:fldCharType="separate"/>
    </w:r>
    <w:r w:rsidR="00D74F47">
      <w:rPr>
        <w:noProof/>
      </w:rPr>
      <w:t>1</w:t>
    </w:r>
    <w:r w:rsidR="00EF797C">
      <w:fldChar w:fldCharType="end"/>
    </w:r>
    <w:r w:rsidR="00EF797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4A015" w14:textId="77777777" w:rsidR="00EF797C" w:rsidRDefault="00EF797C">
      <w:pPr>
        <w:spacing w:after="0" w:line="240" w:lineRule="auto"/>
      </w:pPr>
      <w:r>
        <w:separator/>
      </w:r>
    </w:p>
  </w:footnote>
  <w:footnote w:type="continuationSeparator" w:id="0">
    <w:p w14:paraId="43F2DFA4" w14:textId="77777777" w:rsidR="00EF797C" w:rsidRDefault="00EF7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578047F4" w:rsidR="00476C25" w:rsidRDefault="000E4F43">
    <w:pPr>
      <w:pBdr>
        <w:top w:val="nil"/>
        <w:left w:val="nil"/>
        <w:bottom w:val="nil"/>
        <w:right w:val="nil"/>
        <w:between w:val="nil"/>
      </w:pBdr>
      <w:tabs>
        <w:tab w:val="center" w:pos="4680"/>
        <w:tab w:val="right" w:pos="9360"/>
      </w:tabs>
      <w:spacing w:after="0" w:line="240" w:lineRule="auto"/>
      <w:rPr>
        <w:rFonts w:ascii="Calibri" w:hAnsi="Calibri" w:cs="Calibri"/>
        <w:color w:val="000000"/>
      </w:rPr>
    </w:pPr>
    <w:r>
      <w:t>01.12.2022</w:t>
    </w:r>
    <w:r w:rsidR="00EF797C">
      <w:t xml:space="preserve"> 1st </w:t>
    </w:r>
    <w:r w:rsidR="00EF797C">
      <w:rPr>
        <w:rFonts w:ascii="Calibri" w:hAnsi="Calibri" w:cs="Calibri"/>
        <w:color w:val="000000"/>
      </w:rPr>
      <w:t>Reading BP and AR Guide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25"/>
    <w:rsid w:val="000E4F43"/>
    <w:rsid w:val="00476C25"/>
    <w:rsid w:val="00D74F47"/>
    <w:rsid w:val="00E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7A83"/>
  <w15:docId w15:val="{E1EEFC48-F603-4C0F-8480-C8DF0A8F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B0"/>
    <w:rPr>
      <w:rFonts w:asciiTheme="minorHAnsi" w:hAnsiTheme="minorHAnsi" w:cstheme="minorBidi"/>
    </w:rPr>
  </w:style>
  <w:style w:type="paragraph" w:styleId="Heading1">
    <w:name w:val="heading 1"/>
    <w:basedOn w:val="Normal"/>
    <w:next w:val="Normal"/>
    <w:link w:val="Heading1Char"/>
    <w:qFormat/>
    <w:rsid w:val="00D91882"/>
    <w:pPr>
      <w:keepNext/>
      <w:tabs>
        <w:tab w:val="left" w:pos="1800"/>
      </w:tabs>
      <w:spacing w:after="0" w:line="240" w:lineRule="auto"/>
      <w:jc w:val="center"/>
      <w:outlineLvl w:val="0"/>
    </w:pPr>
    <w:rPr>
      <w:rFonts w:ascii="Bookman Old Style" w:eastAsia="Times New Roman" w:hAnsi="Bookman Old Style" w:cs="Times New Roman"/>
      <w:b/>
      <w:sz w:val="24"/>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1882"/>
    <w:pPr>
      <w:tabs>
        <w:tab w:val="left" w:pos="1800"/>
      </w:tabs>
      <w:spacing w:after="0" w:line="240" w:lineRule="auto"/>
      <w:jc w:val="center"/>
    </w:pPr>
    <w:rPr>
      <w:rFonts w:ascii="Bookman Old Style" w:eastAsia="Times New Roman" w:hAnsi="Bookman Old Style" w:cs="Times New Roman"/>
      <w:b/>
      <w:sz w:val="24"/>
      <w:szCs w:val="20"/>
    </w:rPr>
  </w:style>
  <w:style w:type="character" w:customStyle="1" w:styleId="Heading1Char">
    <w:name w:val="Heading 1 Char"/>
    <w:basedOn w:val="DefaultParagraphFont"/>
    <w:link w:val="Heading1"/>
    <w:rsid w:val="00D91882"/>
    <w:rPr>
      <w:rFonts w:ascii="Bookman Old Style" w:eastAsia="Times New Roman" w:hAnsi="Bookman Old Style"/>
      <w:b/>
      <w:szCs w:val="20"/>
    </w:rPr>
  </w:style>
  <w:style w:type="character" w:customStyle="1" w:styleId="TitleChar">
    <w:name w:val="Title Char"/>
    <w:basedOn w:val="DefaultParagraphFont"/>
    <w:link w:val="Title"/>
    <w:rsid w:val="00D91882"/>
    <w:rPr>
      <w:rFonts w:ascii="Bookman Old Style" w:eastAsia="Times New Roman" w:hAnsi="Bookman Old Style"/>
      <w:b/>
      <w:szCs w:val="20"/>
    </w:rPr>
  </w:style>
  <w:style w:type="paragraph" w:customStyle="1" w:styleId="notegood">
    <w:name w:val="note good"/>
    <w:basedOn w:val="Normal"/>
    <w:rsid w:val="00D91882"/>
    <w:pPr>
      <w:pBdr>
        <w:top w:val="single" w:sz="6" w:space="1" w:color="auto"/>
        <w:left w:val="single" w:sz="6" w:space="1" w:color="auto"/>
        <w:bottom w:val="single" w:sz="6" w:space="1" w:color="auto"/>
        <w:right w:val="single" w:sz="6" w:space="1" w:color="auto"/>
      </w:pBdr>
      <w:tabs>
        <w:tab w:val="right" w:pos="9000"/>
      </w:tabs>
      <w:spacing w:after="0" w:line="240" w:lineRule="auto"/>
      <w:ind w:left="80" w:right="100"/>
      <w:jc w:val="both"/>
    </w:pPr>
    <w:rPr>
      <w:rFonts w:ascii="Bookman" w:eastAsia="Times New Roman" w:hAnsi="Bookman" w:cs="Times New Roman"/>
      <w:sz w:val="20"/>
      <w:szCs w:val="20"/>
    </w:rPr>
  </w:style>
  <w:style w:type="table" w:styleId="TableGrid">
    <w:name w:val="Table Grid"/>
    <w:basedOn w:val="TableNormal"/>
    <w:uiPriority w:val="39"/>
    <w:rsid w:val="00DC39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39FD"/>
    <w:pPr>
      <w:spacing w:line="240" w:lineRule="auto"/>
    </w:pPr>
  </w:style>
  <w:style w:type="character" w:styleId="CommentReference">
    <w:name w:val="annotation reference"/>
    <w:basedOn w:val="DefaultParagraphFont"/>
    <w:uiPriority w:val="99"/>
    <w:unhideWhenUsed/>
    <w:rsid w:val="00FE39D7"/>
    <w:rPr>
      <w:sz w:val="16"/>
      <w:szCs w:val="16"/>
    </w:rPr>
  </w:style>
  <w:style w:type="paragraph" w:styleId="CommentText">
    <w:name w:val="annotation text"/>
    <w:basedOn w:val="Normal"/>
    <w:link w:val="CommentTextChar"/>
    <w:uiPriority w:val="99"/>
    <w:unhideWhenUsed/>
    <w:rsid w:val="00FE39D7"/>
    <w:pPr>
      <w:spacing w:line="240" w:lineRule="auto"/>
    </w:pPr>
    <w:rPr>
      <w:sz w:val="20"/>
      <w:szCs w:val="20"/>
    </w:rPr>
  </w:style>
  <w:style w:type="character" w:customStyle="1" w:styleId="CommentTextChar">
    <w:name w:val="Comment Text Char"/>
    <w:basedOn w:val="DefaultParagraphFont"/>
    <w:link w:val="CommentText"/>
    <w:uiPriority w:val="99"/>
    <w:rsid w:val="00FE39D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E39D7"/>
    <w:rPr>
      <w:b/>
      <w:bCs/>
    </w:rPr>
  </w:style>
  <w:style w:type="character" w:customStyle="1" w:styleId="CommentSubjectChar">
    <w:name w:val="Comment Subject Char"/>
    <w:basedOn w:val="CommentTextChar"/>
    <w:link w:val="CommentSubject"/>
    <w:uiPriority w:val="99"/>
    <w:semiHidden/>
    <w:rsid w:val="00FE39D7"/>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FE3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9D7"/>
    <w:rPr>
      <w:rFonts w:ascii="Segoe UI" w:hAnsi="Segoe UI" w:cs="Segoe UI"/>
      <w:sz w:val="18"/>
      <w:szCs w:val="18"/>
    </w:rPr>
  </w:style>
  <w:style w:type="paragraph" w:styleId="ListParagraph">
    <w:name w:val="List Paragraph"/>
    <w:basedOn w:val="Normal"/>
    <w:uiPriority w:val="34"/>
    <w:qFormat/>
    <w:rsid w:val="00E30E28"/>
    <w:pPr>
      <w:spacing w:after="160" w:line="259" w:lineRule="auto"/>
      <w:ind w:left="720"/>
      <w:contextualSpacing/>
    </w:pPr>
  </w:style>
  <w:style w:type="paragraph" w:customStyle="1" w:styleId="NoteGood0">
    <w:name w:val="Note Good"/>
    <w:basedOn w:val="Normal"/>
    <w:link w:val="NoteGoodChar"/>
    <w:qFormat/>
    <w:rsid w:val="009B044D"/>
    <w:pPr>
      <w:pBdr>
        <w:top w:val="single" w:sz="6" w:space="1" w:color="auto"/>
        <w:left w:val="single" w:sz="6" w:space="4" w:color="auto"/>
        <w:bottom w:val="single" w:sz="6" w:space="1" w:color="auto"/>
        <w:right w:val="single" w:sz="6" w:space="4" w:color="auto"/>
      </w:pBdr>
      <w:tabs>
        <w:tab w:val="right" w:pos="9000"/>
      </w:tabs>
      <w:spacing w:after="0" w:line="240" w:lineRule="auto"/>
      <w:ind w:left="144" w:right="144"/>
      <w:jc w:val="both"/>
    </w:pPr>
    <w:rPr>
      <w:rFonts w:ascii="Times New Roman" w:eastAsia="Times New Roman" w:hAnsi="Times New Roman" w:cs="Times New Roman"/>
      <w:sz w:val="20"/>
      <w:szCs w:val="20"/>
    </w:rPr>
  </w:style>
  <w:style w:type="character" w:customStyle="1" w:styleId="NoteGoodChar">
    <w:name w:val="Note Good Char"/>
    <w:link w:val="NoteGood0"/>
    <w:rsid w:val="009B044D"/>
    <w:rPr>
      <w:rFonts w:eastAsia="Times New Roman"/>
      <w:sz w:val="20"/>
      <w:szCs w:val="20"/>
    </w:rPr>
  </w:style>
  <w:style w:type="paragraph" w:styleId="NormalWeb">
    <w:name w:val="Normal (Web)"/>
    <w:basedOn w:val="Normal"/>
    <w:uiPriority w:val="99"/>
    <w:unhideWhenUsed/>
    <w:rsid w:val="0039391F"/>
    <w:pPr>
      <w:tabs>
        <w:tab w:val="right" w:pos="900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styleId="Hyperlink">
    <w:name w:val="Hyperlink"/>
    <w:uiPriority w:val="99"/>
    <w:unhideWhenUsed/>
    <w:rsid w:val="0039391F"/>
    <w:rPr>
      <w:strike w:val="0"/>
      <w:dstrike w:val="0"/>
      <w:color w:val="000000"/>
      <w:u w:val="none"/>
      <w:effect w:val="none"/>
    </w:rPr>
  </w:style>
  <w:style w:type="paragraph" w:styleId="HTMLPreformatted">
    <w:name w:val="HTML Preformatted"/>
    <w:basedOn w:val="Normal"/>
    <w:link w:val="HTMLPreformattedChar"/>
    <w:uiPriority w:val="99"/>
    <w:rsid w:val="00AE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AE7075"/>
    <w:rPr>
      <w:rFonts w:ascii="Courier New" w:eastAsia="Times New Roman" w:hAnsi="Courier New"/>
      <w:sz w:val="20"/>
      <w:szCs w:val="20"/>
      <w:lang w:val="x-none" w:eastAsia="x-none"/>
    </w:rPr>
  </w:style>
  <w:style w:type="paragraph" w:styleId="Header">
    <w:name w:val="header"/>
    <w:basedOn w:val="Normal"/>
    <w:link w:val="HeaderChar"/>
    <w:uiPriority w:val="99"/>
    <w:unhideWhenUsed/>
    <w:rsid w:val="00A9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33A"/>
    <w:rPr>
      <w:rFonts w:asciiTheme="minorHAnsi" w:hAnsiTheme="minorHAnsi" w:cstheme="minorBidi"/>
      <w:sz w:val="22"/>
      <w:szCs w:val="22"/>
    </w:rPr>
  </w:style>
  <w:style w:type="paragraph" w:styleId="Footer">
    <w:name w:val="footer"/>
    <w:basedOn w:val="Normal"/>
    <w:link w:val="FooterChar"/>
    <w:uiPriority w:val="99"/>
    <w:unhideWhenUsed/>
    <w:rsid w:val="00A90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3A"/>
    <w:rPr>
      <w:rFonts w:asciiTheme="minorHAnsi" w:hAnsiTheme="minorHAnsi" w:cstheme="minorBid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aJBz8CaVLgpCmGvSyM7M0191Tw==">AMUW2mXDaro0ivG+STWqLhJhSAmtkYL+ZQHuIhm58Cddl8rnnVERLMxCWMJhdqSJ0KTxnibdkYsaeiZdpxD1zdJQbYq8NDK5HonNKyX3unjZqF9O4HS6O1w=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A77D50-BB6E-4B52-A737-EFCCC6DC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SISUHSD</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Greene</dc:creator>
  <cp:lastModifiedBy>dmoser</cp:lastModifiedBy>
  <cp:revision>2</cp:revision>
  <dcterms:created xsi:type="dcterms:W3CDTF">2021-02-03T22:17:00Z</dcterms:created>
  <dcterms:modified xsi:type="dcterms:W3CDTF">2022-01-07T22:00:00Z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0x010100887335B56D852844A8EE8574B98C3438</vt:lpwstr>
  </property>
</Properties>
</file>